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47" w:rsidRPr="00704747" w:rsidRDefault="00704747" w:rsidP="00704747">
      <w:pPr>
        <w:shd w:val="clear" w:color="auto" w:fill="FFFFFF"/>
        <w:spacing w:after="0" w:line="253" w:lineRule="atLeast"/>
        <w:jc w:val="center"/>
        <w:rPr>
          <w:rFonts w:ascii="Arial" w:eastAsia="Times New Roman" w:hAnsi="Arial" w:cs="Arial"/>
          <w:color w:val="000000"/>
        </w:rPr>
      </w:pPr>
      <w:r w:rsidRPr="00704747">
        <w:rPr>
          <w:rFonts w:ascii="Arial" w:eastAsia="Times New Roman" w:hAnsi="Arial" w:cs="Arial"/>
          <w:color w:val="000000"/>
          <w:sz w:val="28"/>
          <w:szCs w:val="28"/>
          <w:lang w:val="es-ES"/>
        </w:rPr>
        <w:t>Windthorst ISD</w:t>
      </w:r>
      <w:r w:rsidRPr="00704747">
        <w:rPr>
          <w:rFonts w:ascii="Arial" w:eastAsia="Times New Roman" w:hAnsi="Arial" w:cs="Arial"/>
          <w:color w:val="000000"/>
          <w:sz w:val="28"/>
          <w:szCs w:val="28"/>
          <w:lang w:val="en"/>
        </w:rPr>
        <w:br/>
      </w:r>
      <w:r w:rsidRPr="00704747">
        <w:rPr>
          <w:rFonts w:ascii="Arial" w:eastAsia="Times New Roman" w:hAnsi="Arial" w:cs="Arial"/>
          <w:color w:val="000000"/>
          <w:sz w:val="28"/>
          <w:szCs w:val="28"/>
          <w:lang w:val="es-ES"/>
        </w:rPr>
        <w:t>ARP ESSER III Uso de fondos/Esquema del plan de continuidad de servicios</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000000"/>
          <w:sz w:val="28"/>
          <w:szCs w:val="28"/>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000000"/>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000000"/>
          <w:sz w:val="24"/>
          <w:szCs w:val="24"/>
          <w:lang w:val="es-ES"/>
        </w:rPr>
        <w:t>Componente I: </w:t>
      </w:r>
      <w:r w:rsidRPr="00704747">
        <w:rPr>
          <w:rFonts w:ascii="Arial" w:eastAsia="Times New Roman" w:hAnsi="Arial" w:cs="Arial"/>
          <w:color w:val="333333"/>
          <w:sz w:val="24"/>
          <w:szCs w:val="24"/>
          <w:lang w:val="es-ES"/>
        </w:rPr>
        <w:t>La medida y la forma en que los fondos se utilizarán para implementar estrategias de prevención y mitigación que sean, en la mayor medida posible, consistentes con la guía más reciente de los CDC sobre la reapertura de escuelas, con el fin de abrir y operar escuelas de manera continua y segura para el aprendizaje en persona.</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tbl>
      <w:tblPr>
        <w:tblW w:w="9600" w:type="dxa"/>
        <w:shd w:val="clear" w:color="auto" w:fill="FFFFFF"/>
        <w:tblCellMar>
          <w:left w:w="0" w:type="dxa"/>
          <w:right w:w="0" w:type="dxa"/>
        </w:tblCellMar>
        <w:tblLook w:val="04A0" w:firstRow="1" w:lastRow="0" w:firstColumn="1" w:lastColumn="0" w:noHBand="0" w:noVBand="1"/>
      </w:tblPr>
      <w:tblGrid>
        <w:gridCol w:w="9600"/>
      </w:tblGrid>
      <w:tr w:rsidR="00704747" w:rsidRPr="00704747" w:rsidTr="00704747">
        <w:trPr>
          <w:trHeight w:val="1058"/>
        </w:trPr>
        <w:tc>
          <w:tcPr>
            <w:tcW w:w="9601"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hideMark/>
          </w:tcPr>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s-ES"/>
              </w:rPr>
              <w:t>No hay estrategias de mitigación con el uso de fondos ESSER.</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n"/>
              </w:rPr>
              <w:t> </w:t>
            </w:r>
          </w:p>
        </w:tc>
      </w:tr>
    </w:tbl>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s-ES"/>
        </w:rPr>
        <w:t>Componente 2: Cómo la LEA utilizará los fondos que reserva (al menos el 20%) bajo la sección 2001 (e) (1) de la Ley ARP para abordar el impacto académico del tiempo de instrucción perdido a través de la implementación de intervenciones basadas en la evidencia, como el aprendizaje de verano o el enriquecimiento de verano, el día extendido, los programas integrales después de la escuela o el año escolar extendido.</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tbl>
      <w:tblPr>
        <w:tblW w:w="11070" w:type="dxa"/>
        <w:tblInd w:w="-15" w:type="dxa"/>
        <w:shd w:val="clear" w:color="auto" w:fill="FFFFFF"/>
        <w:tblCellMar>
          <w:left w:w="0" w:type="dxa"/>
          <w:right w:w="0" w:type="dxa"/>
        </w:tblCellMar>
        <w:tblLook w:val="04A0" w:firstRow="1" w:lastRow="0" w:firstColumn="1" w:lastColumn="0" w:noHBand="0" w:noVBand="1"/>
      </w:tblPr>
      <w:tblGrid>
        <w:gridCol w:w="11070"/>
      </w:tblGrid>
      <w:tr w:rsidR="00704747" w:rsidRPr="00704747" w:rsidTr="00704747">
        <w:trPr>
          <w:trHeight w:val="2768"/>
        </w:trPr>
        <w:tc>
          <w:tcPr>
            <w:tcW w:w="11070"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hideMark/>
          </w:tcPr>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s-ES"/>
              </w:rPr>
              <w:t xml:space="preserve">Para abordar el impacto académico de la pérdida de tiempo de instrucción, el distrito comprará software, como </w:t>
            </w:r>
            <w:proofErr w:type="spellStart"/>
            <w:r w:rsidRPr="00704747">
              <w:rPr>
                <w:rFonts w:ascii="Arial" w:eastAsia="Times New Roman" w:hAnsi="Arial" w:cs="Arial"/>
                <w:color w:val="333333"/>
                <w:sz w:val="24"/>
                <w:szCs w:val="24"/>
                <w:lang w:val="es-ES"/>
              </w:rPr>
              <w:t>Edmentum</w:t>
            </w:r>
            <w:proofErr w:type="spellEnd"/>
            <w:r w:rsidRPr="00704747">
              <w:rPr>
                <w:rFonts w:ascii="Arial" w:eastAsia="Times New Roman" w:hAnsi="Arial" w:cs="Arial"/>
                <w:color w:val="333333"/>
                <w:sz w:val="24"/>
                <w:szCs w:val="24"/>
                <w:lang w:val="es-ES"/>
              </w:rPr>
              <w:t xml:space="preserve"> y </w:t>
            </w:r>
            <w:proofErr w:type="spellStart"/>
            <w:r w:rsidRPr="00704747">
              <w:rPr>
                <w:rFonts w:ascii="Arial" w:eastAsia="Times New Roman" w:hAnsi="Arial" w:cs="Arial"/>
                <w:color w:val="333333"/>
                <w:sz w:val="24"/>
                <w:szCs w:val="24"/>
                <w:lang w:val="es-ES"/>
              </w:rPr>
              <w:t>Education</w:t>
            </w:r>
            <w:proofErr w:type="spellEnd"/>
            <w:r w:rsidRPr="00704747">
              <w:rPr>
                <w:rFonts w:ascii="Arial" w:eastAsia="Times New Roman" w:hAnsi="Arial" w:cs="Arial"/>
                <w:color w:val="333333"/>
                <w:sz w:val="24"/>
                <w:szCs w:val="24"/>
                <w:lang w:val="es-ES"/>
              </w:rPr>
              <w:t xml:space="preserve"> Galaxy para implementar intervenciones basadas en la evidencia. El distrito también usará fondos para pagar a los maestros por servicios tutoriales adicionales antes de la escuela, después de la escuela y durante el verano. Los fondos también se utilizarán para proporcionar capacitaciones de Reading </w:t>
            </w:r>
            <w:proofErr w:type="spellStart"/>
            <w:r w:rsidRPr="00704747">
              <w:rPr>
                <w:rFonts w:ascii="Arial" w:eastAsia="Times New Roman" w:hAnsi="Arial" w:cs="Arial"/>
                <w:color w:val="333333"/>
                <w:sz w:val="24"/>
                <w:szCs w:val="24"/>
                <w:lang w:val="es-ES"/>
              </w:rPr>
              <w:t>Academy</w:t>
            </w:r>
            <w:proofErr w:type="spellEnd"/>
            <w:r w:rsidRPr="00704747">
              <w:rPr>
                <w:rFonts w:ascii="Arial" w:eastAsia="Times New Roman" w:hAnsi="Arial" w:cs="Arial"/>
                <w:color w:val="333333"/>
                <w:sz w:val="24"/>
                <w:szCs w:val="24"/>
                <w:lang w:val="es-ES"/>
              </w:rPr>
              <w:t xml:space="preserve"> y para pagar un consejero escolar adicional.</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n"/>
              </w:rPr>
              <w:t> </w:t>
            </w:r>
          </w:p>
        </w:tc>
      </w:tr>
    </w:tbl>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lastRenderedPageBreak/>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s-ES"/>
        </w:rPr>
        <w:t>Componente 3: Cómo gastará la LEA sus fondos restantes de ARP ESSER de conformidad con la sección 2001 (e) (2) de la Ley ARP.</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8"/>
          <w:szCs w:val="28"/>
          <w:lang w:val="en"/>
        </w:rPr>
        <w:t> </w:t>
      </w:r>
    </w:p>
    <w:tbl>
      <w:tblPr>
        <w:tblW w:w="10800" w:type="dxa"/>
        <w:shd w:val="clear" w:color="auto" w:fill="FFFFFF"/>
        <w:tblCellMar>
          <w:left w:w="0" w:type="dxa"/>
          <w:right w:w="0" w:type="dxa"/>
        </w:tblCellMar>
        <w:tblLook w:val="04A0" w:firstRow="1" w:lastRow="0" w:firstColumn="1" w:lastColumn="0" w:noHBand="0" w:noVBand="1"/>
      </w:tblPr>
      <w:tblGrid>
        <w:gridCol w:w="10800"/>
      </w:tblGrid>
      <w:tr w:rsidR="00704747" w:rsidRPr="00704747" w:rsidTr="00704747">
        <w:trPr>
          <w:trHeight w:val="3830"/>
        </w:trPr>
        <w:tc>
          <w:tcPr>
            <w:tcW w:w="10800"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hideMark/>
          </w:tcPr>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8"/>
                <w:szCs w:val="28"/>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8"/>
                <w:szCs w:val="28"/>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s-ES"/>
              </w:rPr>
              <w:t>La Sección 18006 de la Ley CARES (ESSER I) y la Sección 315 de la Ley CRSSA (ESSER II) requieren, en la mayor medida posible, que las entidades que reciben fondos continúen pagando a sus empleados y contratistas durante el período de cualquier interrupción o cierre relacionado con el coronavirus. Además, la Sección 18003 (d) (12) de la Ley CARES, la Sección 313 (d) (14) de la Ley CRRSA y la Sección 2001 (e) (2) (R) de la Ley ARP (ESSER III) permiten que los fondos de ESSER apoyen "otras actividades que son necesarias para mantener la operación y la continuidad de los servicios en las agencias educativas locales y continuar empleando al personal existente de la LEA". La LEA utilizará los fondos de ESSER para pagar los salarios de los maestros.</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8"/>
                <w:szCs w:val="28"/>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8"/>
                <w:szCs w:val="28"/>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8"/>
                <w:szCs w:val="28"/>
                <w:lang w:val="en"/>
              </w:rPr>
              <w:t> </w:t>
            </w:r>
          </w:p>
        </w:tc>
      </w:tr>
    </w:tbl>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8"/>
          <w:szCs w:val="28"/>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0F0F5F"/>
          <w:sz w:val="24"/>
          <w:szCs w:val="24"/>
          <w:shd w:val="clear" w:color="auto" w:fill="F0F0A0"/>
          <w:lang w:val="es-ES"/>
        </w:rPr>
        <w:t>Componente 4: Cómo la LEA se asegurará de que las intervenciones que implemente, incluidas, entre otras, las intervenciones implementadas en virtud de la sección 2001 (e) (1) de la Ley ARP para abordar el impacto académico del tiempo de instrucción perdido, respondan a las necesidades académicas, sociales, emocionales y de salud mental de todos los estudiantes, y particularmente de aquellos estudiantes afectados de manera desproporcionada por la pandemia de COVID-19, </w:t>
      </w:r>
      <w:r w:rsidRPr="00704747">
        <w:rPr>
          <w:rFonts w:ascii="Arial" w:eastAsia="Times New Roman" w:hAnsi="Arial" w:cs="Arial"/>
          <w:color w:val="333333"/>
          <w:sz w:val="24"/>
          <w:szCs w:val="24"/>
          <w:lang w:val="es-ES"/>
        </w:rPr>
        <w:t>incluyendo estudiantes de familias de bajos ingresos, estudiantes de color, estudiantes de inglés, niños con discapacidades, estudiantes sin hogar, niños en cuidado de crianza y estudiantes migratorios.</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8"/>
          <w:szCs w:val="28"/>
          <w:lang w:val="en"/>
        </w:rPr>
        <w:t> </w:t>
      </w:r>
    </w:p>
    <w:tbl>
      <w:tblPr>
        <w:tblW w:w="10800" w:type="dxa"/>
        <w:shd w:val="clear" w:color="auto" w:fill="FFFFFF"/>
        <w:tblCellMar>
          <w:left w:w="0" w:type="dxa"/>
          <w:right w:w="0" w:type="dxa"/>
        </w:tblCellMar>
        <w:tblLook w:val="04A0" w:firstRow="1" w:lastRow="0" w:firstColumn="1" w:lastColumn="0" w:noHBand="0" w:noVBand="1"/>
      </w:tblPr>
      <w:tblGrid>
        <w:gridCol w:w="10800"/>
      </w:tblGrid>
      <w:tr w:rsidR="00704747" w:rsidRPr="00704747" w:rsidTr="00704747">
        <w:trPr>
          <w:trHeight w:val="2462"/>
        </w:trPr>
        <w:tc>
          <w:tcPr>
            <w:tcW w:w="10800"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hideMark/>
          </w:tcPr>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s-ES"/>
              </w:rPr>
              <w:t>Las intervenciones implementadas para abordar el impacto académico debido a la pérdida de tiempo de instrucción serán monitoreadas durante todo el año escolar. Se realizará un seguimiento del progreso de los estudiantes, se analizarán los datos y se realizarán ajustes a las intervenciones para que ningún estudiante se quede atrás. Se contratará a un consejero escolar adicional para ayudar con las necesidades sociales, emocionales y de salud mental de todos los estudiantes, y particularmente de aquellos estudiantes afectados de manera desproporcionada por la pandemia de COVID-19.</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n"/>
              </w:rPr>
              <w:t> </w:t>
            </w:r>
          </w:p>
          <w:p w:rsidR="00704747" w:rsidRPr="00704747" w:rsidRDefault="00704747" w:rsidP="00704747">
            <w:pPr>
              <w:spacing w:after="0" w:line="240" w:lineRule="auto"/>
              <w:rPr>
                <w:rFonts w:ascii="Arial" w:eastAsia="Times New Roman" w:hAnsi="Arial" w:cs="Arial"/>
              </w:rPr>
            </w:pPr>
            <w:r w:rsidRPr="00704747">
              <w:rPr>
                <w:rFonts w:ascii="Arial" w:eastAsia="Times New Roman" w:hAnsi="Arial" w:cs="Arial"/>
                <w:color w:val="333333"/>
                <w:sz w:val="24"/>
                <w:szCs w:val="24"/>
                <w:lang w:val="en"/>
              </w:rPr>
              <w:t> </w:t>
            </w:r>
          </w:p>
        </w:tc>
      </w:tr>
    </w:tbl>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8"/>
          <w:szCs w:val="28"/>
          <w:lang w:val="en"/>
        </w:rPr>
        <w:t> </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s-ES"/>
        </w:rPr>
        <w:lastRenderedPageBreak/>
        <w:t>El plan se puso a disposición del público para comentarios en la reunión de la junta de julio.</w:t>
      </w:r>
    </w:p>
    <w:p w:rsidR="00704747" w:rsidRPr="00704747" w:rsidRDefault="00704747" w:rsidP="00704747">
      <w:pPr>
        <w:shd w:val="clear" w:color="auto" w:fill="FFFFFF"/>
        <w:spacing w:before="240" w:after="240" w:line="253" w:lineRule="atLeast"/>
        <w:rPr>
          <w:rFonts w:ascii="Arial" w:eastAsia="Times New Roman" w:hAnsi="Arial" w:cs="Arial"/>
          <w:color w:val="000000"/>
        </w:rPr>
      </w:pPr>
      <w:r w:rsidRPr="00704747">
        <w:rPr>
          <w:rFonts w:ascii="Arial" w:eastAsia="Times New Roman" w:hAnsi="Arial" w:cs="Arial"/>
          <w:color w:val="333333"/>
          <w:sz w:val="24"/>
          <w:szCs w:val="24"/>
          <w:lang w:val="es-ES"/>
        </w:rPr>
        <w:t xml:space="preserve">El plan está disponible para su traducción oral en español si es necesario, y se puede solicitar en la oficina de administración poniéndose en contacto con </w:t>
      </w:r>
      <w:proofErr w:type="spellStart"/>
      <w:r w:rsidRPr="00704747">
        <w:rPr>
          <w:rFonts w:ascii="Arial" w:eastAsia="Times New Roman" w:hAnsi="Arial" w:cs="Arial"/>
          <w:color w:val="333333"/>
          <w:sz w:val="24"/>
          <w:szCs w:val="24"/>
          <w:lang w:val="es-ES"/>
        </w:rPr>
        <w:t>Heather</w:t>
      </w:r>
      <w:proofErr w:type="spellEnd"/>
      <w:r w:rsidRPr="00704747">
        <w:rPr>
          <w:rFonts w:ascii="Arial" w:eastAsia="Times New Roman" w:hAnsi="Arial" w:cs="Arial"/>
          <w:color w:val="333333"/>
          <w:sz w:val="24"/>
          <w:szCs w:val="24"/>
          <w:lang w:val="es-ES"/>
        </w:rPr>
        <w:t xml:space="preserve"> </w:t>
      </w:r>
      <w:proofErr w:type="spellStart"/>
      <w:r w:rsidRPr="00704747">
        <w:rPr>
          <w:rFonts w:ascii="Arial" w:eastAsia="Times New Roman" w:hAnsi="Arial" w:cs="Arial"/>
          <w:color w:val="333333"/>
          <w:sz w:val="24"/>
          <w:szCs w:val="24"/>
          <w:lang w:val="es-ES"/>
        </w:rPr>
        <w:t>Crain</w:t>
      </w:r>
      <w:proofErr w:type="spellEnd"/>
      <w:r w:rsidRPr="00704747">
        <w:rPr>
          <w:rFonts w:ascii="Arial" w:eastAsia="Times New Roman" w:hAnsi="Arial" w:cs="Arial"/>
          <w:color w:val="333333"/>
          <w:sz w:val="24"/>
          <w:szCs w:val="24"/>
          <w:lang w:val="es-ES"/>
        </w:rPr>
        <w:t xml:space="preserve"> al 940-423-6688.</w:t>
      </w:r>
    </w:p>
    <w:p w:rsidR="00704747" w:rsidRPr="00704747" w:rsidRDefault="00704747" w:rsidP="00704747">
      <w:pPr>
        <w:shd w:val="clear" w:color="auto" w:fill="FFFFFF"/>
        <w:spacing w:after="0" w:line="253" w:lineRule="atLeast"/>
        <w:rPr>
          <w:rFonts w:ascii="Arial" w:eastAsia="Times New Roman" w:hAnsi="Arial" w:cs="Arial"/>
          <w:color w:val="000000"/>
        </w:rPr>
      </w:pPr>
      <w:r w:rsidRPr="00704747">
        <w:rPr>
          <w:rFonts w:ascii="Arial" w:eastAsia="Times New Roman" w:hAnsi="Arial" w:cs="Arial"/>
          <w:color w:val="333333"/>
          <w:sz w:val="24"/>
          <w:szCs w:val="24"/>
          <w:lang w:val="es-ES"/>
        </w:rPr>
        <w:t xml:space="preserve">El plan estará disponible en un formato accesible para personas con discapacidades, previa solicitud a </w:t>
      </w:r>
      <w:proofErr w:type="spellStart"/>
      <w:r w:rsidRPr="00704747">
        <w:rPr>
          <w:rFonts w:ascii="Arial" w:eastAsia="Times New Roman" w:hAnsi="Arial" w:cs="Arial"/>
          <w:color w:val="333333"/>
          <w:sz w:val="24"/>
          <w:szCs w:val="24"/>
          <w:lang w:val="es-ES"/>
        </w:rPr>
        <w:t>Heather</w:t>
      </w:r>
      <w:proofErr w:type="spellEnd"/>
      <w:r w:rsidRPr="00704747">
        <w:rPr>
          <w:rFonts w:ascii="Arial" w:eastAsia="Times New Roman" w:hAnsi="Arial" w:cs="Arial"/>
          <w:color w:val="333333"/>
          <w:sz w:val="24"/>
          <w:szCs w:val="24"/>
          <w:lang w:val="es-ES"/>
        </w:rPr>
        <w:t xml:space="preserve"> </w:t>
      </w:r>
      <w:proofErr w:type="spellStart"/>
      <w:r w:rsidRPr="00704747">
        <w:rPr>
          <w:rFonts w:ascii="Arial" w:eastAsia="Times New Roman" w:hAnsi="Arial" w:cs="Arial"/>
          <w:color w:val="333333"/>
          <w:sz w:val="24"/>
          <w:szCs w:val="24"/>
          <w:lang w:val="es-ES"/>
        </w:rPr>
        <w:t>Crain</w:t>
      </w:r>
      <w:proofErr w:type="spellEnd"/>
      <w:r w:rsidRPr="00704747">
        <w:rPr>
          <w:rFonts w:ascii="Arial" w:eastAsia="Times New Roman" w:hAnsi="Arial" w:cs="Arial"/>
          <w:color w:val="333333"/>
          <w:sz w:val="24"/>
          <w:szCs w:val="24"/>
          <w:lang w:val="es-ES"/>
        </w:rPr>
        <w:t xml:space="preserve"> al 940-423-6688.</w:t>
      </w:r>
    </w:p>
    <w:p w:rsidR="00704747" w:rsidRPr="00704747" w:rsidRDefault="00704747" w:rsidP="00704747">
      <w:pPr>
        <w:shd w:val="clear" w:color="auto" w:fill="FFFFFF"/>
        <w:spacing w:after="0" w:line="253" w:lineRule="atLeast"/>
        <w:rPr>
          <w:rFonts w:ascii="Arial" w:eastAsia="Times New Roman" w:hAnsi="Arial" w:cs="Arial"/>
          <w:color w:val="000000"/>
          <w:lang w:val="es-ES"/>
        </w:rPr>
      </w:pPr>
      <w:r w:rsidRPr="00704747">
        <w:rPr>
          <w:rFonts w:ascii="Arial" w:eastAsia="Times New Roman" w:hAnsi="Arial" w:cs="Arial"/>
          <w:color w:val="333333"/>
          <w:sz w:val="24"/>
          <w:szCs w:val="24"/>
          <w:lang w:val="en"/>
        </w:rPr>
        <w:t xml:space="preserve">El plan se </w:t>
      </w:r>
      <w:proofErr w:type="spellStart"/>
      <w:r w:rsidRPr="00704747">
        <w:rPr>
          <w:rFonts w:ascii="Arial" w:eastAsia="Times New Roman" w:hAnsi="Arial" w:cs="Arial"/>
          <w:color w:val="333333"/>
          <w:sz w:val="24"/>
          <w:szCs w:val="24"/>
          <w:lang w:val="en"/>
        </w:rPr>
        <w:t>publicará</w:t>
      </w:r>
      <w:proofErr w:type="spellEnd"/>
      <w:r w:rsidRPr="00704747">
        <w:rPr>
          <w:rFonts w:ascii="Arial" w:eastAsia="Times New Roman" w:hAnsi="Arial" w:cs="Arial"/>
          <w:color w:val="333333"/>
          <w:sz w:val="24"/>
          <w:szCs w:val="24"/>
          <w:lang w:val="en"/>
        </w:rPr>
        <w:t xml:space="preserve"> </w:t>
      </w:r>
      <w:proofErr w:type="spellStart"/>
      <w:r w:rsidRPr="00704747">
        <w:rPr>
          <w:rFonts w:ascii="Arial" w:eastAsia="Times New Roman" w:hAnsi="Arial" w:cs="Arial"/>
          <w:color w:val="333333"/>
          <w:sz w:val="24"/>
          <w:szCs w:val="24"/>
          <w:lang w:val="en"/>
        </w:rPr>
        <w:t>en</w:t>
      </w:r>
      <w:proofErr w:type="spellEnd"/>
      <w:r w:rsidRPr="00704747">
        <w:rPr>
          <w:rFonts w:ascii="Arial" w:eastAsia="Times New Roman" w:hAnsi="Arial" w:cs="Arial"/>
          <w:color w:val="333333"/>
          <w:sz w:val="24"/>
          <w:szCs w:val="24"/>
          <w:lang w:val="en"/>
        </w:rPr>
        <w:t xml:space="preserve"> el </w:t>
      </w:r>
      <w:proofErr w:type="spellStart"/>
      <w:r w:rsidRPr="00704747">
        <w:rPr>
          <w:rFonts w:ascii="Arial" w:eastAsia="Times New Roman" w:hAnsi="Arial" w:cs="Arial"/>
          <w:color w:val="333333"/>
          <w:sz w:val="24"/>
          <w:szCs w:val="24"/>
          <w:lang w:val="en"/>
        </w:rPr>
        <w:t>sitio</w:t>
      </w:r>
      <w:proofErr w:type="spellEnd"/>
      <w:r w:rsidRPr="00704747">
        <w:rPr>
          <w:rFonts w:ascii="Arial" w:eastAsia="Times New Roman" w:hAnsi="Arial" w:cs="Arial"/>
          <w:color w:val="333333"/>
          <w:sz w:val="24"/>
          <w:szCs w:val="24"/>
          <w:lang w:val="en"/>
        </w:rPr>
        <w:t xml:space="preserve"> web del </w:t>
      </w:r>
      <w:proofErr w:type="spellStart"/>
      <w:r w:rsidRPr="00704747">
        <w:rPr>
          <w:rFonts w:ascii="Arial" w:eastAsia="Times New Roman" w:hAnsi="Arial" w:cs="Arial"/>
          <w:color w:val="333333"/>
          <w:sz w:val="24"/>
          <w:szCs w:val="24"/>
          <w:lang w:val="en"/>
        </w:rPr>
        <w:t>distrito</w:t>
      </w:r>
      <w:proofErr w:type="spellEnd"/>
      <w:r w:rsidRPr="00704747">
        <w:rPr>
          <w:rFonts w:ascii="Arial" w:eastAsia="Times New Roman" w:hAnsi="Arial" w:cs="Arial"/>
          <w:color w:val="333333"/>
          <w:sz w:val="24"/>
          <w:szCs w:val="24"/>
          <w:lang w:val="en"/>
        </w:rPr>
        <w:t xml:space="preserve"> </w:t>
      </w:r>
      <w:proofErr w:type="spellStart"/>
      <w:r w:rsidRPr="00704747">
        <w:rPr>
          <w:rFonts w:ascii="Arial" w:eastAsia="Times New Roman" w:hAnsi="Arial" w:cs="Arial"/>
          <w:color w:val="333333"/>
          <w:sz w:val="24"/>
          <w:szCs w:val="24"/>
          <w:lang w:val="en"/>
        </w:rPr>
        <w:t>en</w:t>
      </w:r>
      <w:proofErr w:type="spellEnd"/>
      <w:r w:rsidRPr="00704747">
        <w:rPr>
          <w:rFonts w:ascii="Arial" w:eastAsia="Times New Roman" w:hAnsi="Arial" w:cs="Arial"/>
          <w:color w:val="333333"/>
          <w:sz w:val="24"/>
          <w:szCs w:val="24"/>
          <w:lang w:val="en"/>
        </w:rPr>
        <w:t> </w:t>
      </w:r>
      <w:hyperlink r:id="rId4" w:history="1">
        <w:r w:rsidRPr="00704747">
          <w:rPr>
            <w:rFonts w:ascii="Arial" w:eastAsia="Times New Roman" w:hAnsi="Arial" w:cs="Arial"/>
            <w:color w:val="0000FF"/>
            <w:sz w:val="24"/>
            <w:szCs w:val="24"/>
            <w:u w:val="single"/>
            <w:lang w:val="en"/>
          </w:rPr>
          <w:t>www.windthorstisd.net</w:t>
        </w:r>
        <w:r w:rsidRPr="00704747">
          <w:rPr>
            <w:rFonts w:ascii="Arial" w:eastAsia="Times New Roman" w:hAnsi="Arial" w:cs="Arial"/>
            <w:color w:val="0000FF"/>
            <w:u w:val="single"/>
            <w:lang w:val="en"/>
          </w:rPr>
          <w:t> </w:t>
        </w:r>
      </w:hyperlink>
      <w:r w:rsidRPr="00704747">
        <w:rPr>
          <w:rFonts w:ascii="Arial" w:eastAsia="Times New Roman" w:hAnsi="Arial" w:cs="Arial"/>
          <w:color w:val="333333"/>
          <w:sz w:val="24"/>
          <w:szCs w:val="24"/>
          <w:lang w:val="en"/>
        </w:rPr>
        <w:t xml:space="preserve">dentro de </w:t>
      </w:r>
      <w:proofErr w:type="spellStart"/>
      <w:r w:rsidRPr="00704747">
        <w:rPr>
          <w:rFonts w:ascii="Arial" w:eastAsia="Times New Roman" w:hAnsi="Arial" w:cs="Arial"/>
          <w:color w:val="333333"/>
          <w:sz w:val="24"/>
          <w:szCs w:val="24"/>
          <w:lang w:val="en"/>
        </w:rPr>
        <w:t>los</w:t>
      </w:r>
      <w:proofErr w:type="spellEnd"/>
      <w:r w:rsidRPr="00704747">
        <w:rPr>
          <w:rFonts w:ascii="Arial" w:eastAsia="Times New Roman" w:hAnsi="Arial" w:cs="Arial"/>
          <w:color w:val="333333"/>
          <w:sz w:val="24"/>
          <w:szCs w:val="24"/>
          <w:lang w:val="en"/>
        </w:rPr>
        <w:t xml:space="preserve"> 30 </w:t>
      </w:r>
      <w:proofErr w:type="spellStart"/>
      <w:r w:rsidRPr="00704747">
        <w:rPr>
          <w:rFonts w:ascii="Arial" w:eastAsia="Times New Roman" w:hAnsi="Arial" w:cs="Arial"/>
          <w:color w:val="333333"/>
          <w:sz w:val="24"/>
          <w:szCs w:val="24"/>
          <w:lang w:val="en"/>
        </w:rPr>
        <w:t>días</w:t>
      </w:r>
      <w:proofErr w:type="spellEnd"/>
      <w:r w:rsidRPr="00704747">
        <w:rPr>
          <w:rFonts w:ascii="Arial" w:eastAsia="Times New Roman" w:hAnsi="Arial" w:cs="Arial"/>
          <w:color w:val="333333"/>
          <w:sz w:val="24"/>
          <w:szCs w:val="24"/>
          <w:lang w:val="en"/>
        </w:rPr>
        <w:t xml:space="preserve"> </w:t>
      </w:r>
      <w:proofErr w:type="spellStart"/>
      <w:r w:rsidRPr="00704747">
        <w:rPr>
          <w:rFonts w:ascii="Arial" w:eastAsia="Times New Roman" w:hAnsi="Arial" w:cs="Arial"/>
          <w:color w:val="333333"/>
          <w:sz w:val="24"/>
          <w:szCs w:val="24"/>
          <w:lang w:val="en"/>
        </w:rPr>
        <w:t>posteriores</w:t>
      </w:r>
      <w:proofErr w:type="spellEnd"/>
      <w:r w:rsidRPr="00704747">
        <w:rPr>
          <w:rFonts w:ascii="Arial" w:eastAsia="Times New Roman" w:hAnsi="Arial" w:cs="Arial"/>
          <w:color w:val="333333"/>
          <w:sz w:val="24"/>
          <w:szCs w:val="24"/>
          <w:lang w:val="en"/>
        </w:rPr>
        <w:t xml:space="preserve"> a la </w:t>
      </w:r>
      <w:proofErr w:type="spellStart"/>
      <w:r w:rsidRPr="00704747">
        <w:rPr>
          <w:rFonts w:ascii="Arial" w:eastAsia="Times New Roman" w:hAnsi="Arial" w:cs="Arial"/>
          <w:color w:val="333333"/>
          <w:sz w:val="24"/>
          <w:szCs w:val="24"/>
          <w:lang w:val="en"/>
        </w:rPr>
        <w:t>recepción</w:t>
      </w:r>
      <w:proofErr w:type="spellEnd"/>
      <w:r w:rsidRPr="00704747">
        <w:rPr>
          <w:rFonts w:ascii="Arial" w:eastAsia="Times New Roman" w:hAnsi="Arial" w:cs="Arial"/>
          <w:color w:val="333333"/>
          <w:sz w:val="24"/>
          <w:szCs w:val="24"/>
          <w:lang w:val="en"/>
        </w:rPr>
        <w:t xml:space="preserve"> de </w:t>
      </w:r>
      <w:proofErr w:type="spellStart"/>
      <w:r w:rsidRPr="00704747">
        <w:rPr>
          <w:rFonts w:ascii="Arial" w:eastAsia="Times New Roman" w:hAnsi="Arial" w:cs="Arial"/>
          <w:color w:val="333333"/>
          <w:sz w:val="24"/>
          <w:szCs w:val="24"/>
          <w:lang w:val="en"/>
        </w:rPr>
        <w:t>los</w:t>
      </w:r>
      <w:proofErr w:type="spellEnd"/>
      <w:r w:rsidRPr="00704747">
        <w:rPr>
          <w:rFonts w:ascii="Arial" w:eastAsia="Times New Roman" w:hAnsi="Arial" w:cs="Arial"/>
          <w:color w:val="333333"/>
          <w:sz w:val="24"/>
          <w:szCs w:val="24"/>
          <w:lang w:val="en"/>
        </w:rPr>
        <w:t xml:space="preserve"> </w:t>
      </w:r>
      <w:proofErr w:type="spellStart"/>
      <w:r w:rsidRPr="00704747">
        <w:rPr>
          <w:rFonts w:ascii="Arial" w:eastAsia="Times New Roman" w:hAnsi="Arial" w:cs="Arial"/>
          <w:color w:val="333333"/>
          <w:sz w:val="24"/>
          <w:szCs w:val="24"/>
          <w:lang w:val="en"/>
        </w:rPr>
        <w:t>fondos</w:t>
      </w:r>
      <w:proofErr w:type="spellEnd"/>
      <w:r w:rsidRPr="00704747">
        <w:rPr>
          <w:rFonts w:ascii="Arial" w:eastAsia="Times New Roman" w:hAnsi="Arial" w:cs="Arial"/>
          <w:color w:val="333333"/>
          <w:sz w:val="24"/>
          <w:szCs w:val="24"/>
          <w:lang w:val="en"/>
        </w:rPr>
        <w:t>.</w:t>
      </w:r>
    </w:p>
    <w:p w:rsidR="00F86110" w:rsidRDefault="00704747">
      <w:bookmarkStart w:id="0" w:name="_GoBack"/>
      <w:bookmarkEnd w:id="0"/>
    </w:p>
    <w:sectPr w:rsidR="00F8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47"/>
    <w:rsid w:val="00704747"/>
    <w:rsid w:val="00A06975"/>
    <w:rsid w:val="00F6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C7ADD-A974-4F74-945E-BD98C671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ndthorst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Tackett</dc:creator>
  <cp:keywords/>
  <dc:description/>
  <cp:lastModifiedBy>Darla Tackett</cp:lastModifiedBy>
  <cp:revision>1</cp:revision>
  <dcterms:created xsi:type="dcterms:W3CDTF">2021-12-03T14:10:00Z</dcterms:created>
  <dcterms:modified xsi:type="dcterms:W3CDTF">2021-12-03T14:11:00Z</dcterms:modified>
</cp:coreProperties>
</file>